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CA36A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2" w:after="322" w:line="380" w:lineRule="atLeas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显微根尖手术的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四手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eastAsia="zh-CN"/>
        </w:rPr>
        <w:t>配合</w:t>
      </w:r>
    </w:p>
    <w:p w14:paraId="2974F40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2" w:after="322" w:line="380" w:lineRule="atLeast"/>
        <w:ind w:right="0" w:rightChars="0" w:firstLine="2560" w:firstLineChars="8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福建省级机关医院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 xml:space="preserve"> 黄颖</w:t>
      </w:r>
    </w:p>
    <w:p w14:paraId="734016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随着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人们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牙齿保护意识不断增强，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牙体牙髓治疗方式方法的发展，根尖炎就诊的患者不断增加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根尖炎行根管手术治疗时由于根管系统复杂多变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现有的技术还不能完全彻底地清洁和封闭根管。目前在国际范围内，显微根尖手术已经得到了大量病例的证实，取得了十分优异的效果。为了保证显微根尖手术能够有效地发挥出自身的实际作用，必须要进一步做好护理配合工作，明确手术中的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理要点，以此来降低各类风险的发生几率。</w:t>
      </w:r>
    </w:p>
    <w:p w14:paraId="79573F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根尖手术的护理配合</w:t>
      </w:r>
    </w:p>
    <w:p w14:paraId="42F36B88">
      <w:pPr>
        <w:keepNext w:val="0"/>
        <w:keepLines w:val="0"/>
        <w:pageBreakBefore w:val="0"/>
        <w:widowControl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物品准备</w:t>
      </w:r>
    </w:p>
    <w:p w14:paraId="07A48C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left="0" w:right="0" w:firstLine="48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①遵医嘱备局部麻醉药。②准备无菌手术衣 、外科手套、口罩、帽子、手机套。③准备手术包，包括刀柄及1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号刀片，眼线剪、强生缝合线（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4-0）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、持针器、弯血管钳、口镜、探针、牙科镊、强吸管、小方纱数块、手术孔巾1条等。④显微镜及显微根尖手术器械盒、</w:t>
      </w:r>
      <w:r>
        <w:rPr>
          <w:rFonts w:hint="eastAsia" w:ascii="仿宋_GB2312" w:hAnsi="仿宋_GB2312" w:eastAsia="仿宋_GB2312" w:cs="仿宋_GB2312"/>
          <w:sz w:val="32"/>
          <w:szCs w:val="32"/>
        </w:rPr>
        <w:t>超声柄和尖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。⑤快速和慢速手机及车针。⑥需行根尖倒充填的用物：吸潮纸尖、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iroot BP。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⑦</w:t>
      </w:r>
      <w:r>
        <w:rPr>
          <w:rFonts w:hint="eastAsia" w:ascii="仿宋_GB2312" w:hAnsi="仿宋_GB2312" w:eastAsia="仿宋_GB2312" w:cs="仿宋_GB2312"/>
          <w:sz w:val="32"/>
          <w:szCs w:val="32"/>
        </w:rPr>
        <w:t>洗必泰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75%酒精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、生理</w:t>
      </w:r>
      <w:r>
        <w:rPr>
          <w:rFonts w:hint="eastAsia" w:ascii="仿宋_GB2312" w:hAnsi="仿宋_GB2312" w:eastAsia="仿宋_GB2312" w:cs="仿宋_GB2312"/>
          <w:sz w:val="32"/>
          <w:szCs w:val="32"/>
        </w:rPr>
        <w:t>盐水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亚甲蓝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肾上腺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素、冲洗</w:t>
      </w:r>
      <w:r>
        <w:rPr>
          <w:rFonts w:hint="eastAsia" w:ascii="仿宋_GB2312" w:hAnsi="仿宋_GB2312" w:eastAsia="仿宋_GB2312" w:cs="仿宋_GB2312"/>
          <w:sz w:val="32"/>
          <w:szCs w:val="32"/>
        </w:rPr>
        <w:t>针筒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小棉棒2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调拌纸，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必要时备</w:t>
      </w:r>
      <w:r>
        <w:rPr>
          <w:rFonts w:hint="eastAsia" w:ascii="仿宋_GB2312" w:hAnsi="仿宋_GB2312" w:eastAsia="仿宋_GB2312" w:cs="仿宋_GB2312"/>
          <w:sz w:val="32"/>
          <w:szCs w:val="32"/>
        </w:rPr>
        <w:t>骨粉，骨膜，骨杯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EED31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.2 术前准备</w:t>
      </w:r>
    </w:p>
    <w:p w14:paraId="37654A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1.2.1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患者准备</w:t>
      </w:r>
    </w:p>
    <w:p w14:paraId="5B4944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left="0" w:right="0" w:firstLine="48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在进行显微根尖手术之前，护理人员应当与患者进行充分的沟通交流，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了解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患者的既往史、过敏史等，是否患有糖尿病或是心脏病等系统性疾病，了解患者的配合度，确保患者能够承受较长时间的固定体位。同时，还要对患者进行患牙区CBCT检查、血常规以及全面口腔检查，如果牙周情况比较差，就要及时进行系统牙周治疗，等到牙周情况好转过后，才可以进行手术。向患者介绍手术治疗的目的、治疗过程、预后，术前术后的注意事项及治疗费用,提醒患者手术中使用的手术器械和范围，为了能给医生提供清晰的视野进行操作，要求在术中张口并尽量保持不动，以配合术者更高效完成手术。协助患者签署治疗知情同意书。女性患者月经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宜手术。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手术之前要清理面部，避免化妆品残留，男性患者则要剃除胡须，护理人员进一步检查患者面部是否疖肿，以及口腔内部是否存在炎症，降低感染风险。</w:t>
      </w:r>
    </w:p>
    <w:p w14:paraId="4372A4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1.2.2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心理护理</w:t>
      </w:r>
    </w:p>
    <w:p w14:paraId="176593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护理人员需要全方位了解患者当前的心理状态，做好术前心理护理。进行显微根尖手术的患者，其大多都是经过传统治疗方式后未见好转，会对治疗失去信心，容易产生一种焦虑的心理状态。所以护理人员要及时帮助患者明确患牙的具体情况，向患者介绍手术治疗的目的、治疗过程、预后，术前术后的注意事项及治疗费用,护理人员还应当耐心听取患者的疑问，及时进行解释，消除患者的焦虑心理。</w:t>
      </w:r>
    </w:p>
    <w:p w14:paraId="3998F6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1.2.3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诊室准备</w:t>
      </w:r>
    </w:p>
    <w:p w14:paraId="488FB1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手术应在独立的小手术间进行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进行显微根尖外科手术之前，诊室中的空气与物品要进行常规消毒，调节温度与湿度后，对仪器的结构与性能进行全面检查，保证其能够处在正常的工作状态中。对操作台、显微镜把手等存在潜在污染的部位采用防污膜进行防护与隔离，显微镜橡胶旋钮、三用枪头等部位，则要进行高温高压蒸汽灭菌，并在手术正式开展前进行安装。除此之外，手术过程中直接接触的部位，需要采用灭菌锡箔纸进行包裹。</w:t>
      </w:r>
    </w:p>
    <w:p w14:paraId="0D340F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手术配合</w:t>
      </w:r>
    </w:p>
    <w:p w14:paraId="16F461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2.1.1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做好手术准备协助患者平躺在牙椅上，调节好位置，光源。遵医嘱备好麻醉药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核对麻药的名称、浓度剂量、有效期及患者姓名等。</w:t>
      </w:r>
    </w:p>
    <w:p w14:paraId="6CC326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2.2.2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嘱患者使用复方氯己定漱口液含漱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min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依次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消毒口内、口外。</w:t>
      </w:r>
    </w:p>
    <w:p w14:paraId="26A2DE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2.2.3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巡回护士打开无菌手术包，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器械护士洗手，外科手消毒，穿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手术衣,戴无菌手套,铺巾。</w:t>
      </w:r>
    </w:p>
    <w:p w14:paraId="0A45E7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2.3.4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协助手术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①切开：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切开时传递手术刀，协助医生在根尖部切开并止血，牵拉唇、侧黏膜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。②翻瓣：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用骨膜分离器循切口进入,翻起黏骨膜瓣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及时用强吸管吸净伤口渗血。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去骨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用裂钻切割骨组织,逐步去骨,将裂钻安装于高速手机上递予医师,及时用强吸管吸净口内的血液及唾液。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刮除根尖周病变组织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根据病损大小选择合适的刮器,刮除病变组织。递予医师挖匙,用无菌纱球随时擦净器械上的血迹及炎性物质。 ⑤根尖切除 用裂钻将根尖切除2~3mm， 对术区进行有效的止血,检查根尖切面。 递予医师小棉球进行止血。更换车针,递予医师高速手机。 及时用强吸管吸净口内的血及唾液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⑥根尖倒预备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将超声工作尖深人牙根截断面并预备洞形。预备完后用生理盐水彻底冲洗。 根据医师要求安装不同型号的超声工作尖,安装于超声手柄后递予医师。及时用强吸管吸净血液及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唾液。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递予医师生理盐水冲洗器,并及时吸净生理盐水。⑦根尖倒充填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将肾上腺素小棉球放置于术区,止血。将小棉球放置于骨腔,干燥术区。 用无菌吸潮纸尖干燥倒预备洞形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用倒充填器械取适量iRoot BP 入洞内,逐层加压,直至填满。将止血干燥的小棉球取出,用生理盐水小棉球轻轻清理根切面,去除多余材料。逐层放反复递予医师 iRoot BP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充填材料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。⑧瓣的复位与缝合 用生理盐水冲洗术区后将瓣复位并缝合。递予医师生理盐水冲洗器,并及时吸净唾液。递予医师缝线，协助剪线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⑨术后术区轻加压止血。递予医师纱球以轻压术区止血。递予医师生理盐水湿纱球,擦净患者脸上血污。整理并清点手术用物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2C5090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3.5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病情观察 手术过程中，随时观察患者的生命体征及其他情况，备好急救包，以防发生并发症。</w:t>
      </w:r>
    </w:p>
    <w:p w14:paraId="6881B3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atLeast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术后宣教</w:t>
      </w:r>
    </w:p>
    <w:p w14:paraId="6FF3A0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590" w:lineRule="atLeas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显微根尖手术完成过后，要及时采用湿纱布来对患者唇边的血渍进行清理，撤离所用的各类手术用品。同时，还要对患者的手术伤口出血情况以及全身情况进行观察，手术过后护理人员也要对患者与家属展开卫生教育，嘱患者术后2h禁食,术后当天以温凉流食为主,忌食刺激性食物、禁烟酒。24h 内间歇用冰袋冷敷术区。遵医嘱术后服用抗生素。24h 内勿刷牙、漱口、吸吮伤口及频繁吐唾液。术后3天内术区可能会出现轻度肿痛,为正常的术后反应。术后 5~7天拆线,如有不适及时就诊。定期复查,复诊拍摄X线片,以便追踪观察根尖周组织的愈合情况。除此之外，在手术完成后，视情况遵医嘱服用一些抗生素，并定期前往医院复查。</w:t>
      </w:r>
    </w:p>
    <w:p w14:paraId="6AAD61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atLeas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附单选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题 </w:t>
      </w:r>
    </w:p>
    <w:p w14:paraId="239A0039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以下哪项不是显微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根尖手术的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常规用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物准备：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（  ）</w:t>
      </w:r>
    </w:p>
    <w:p w14:paraId="16EFCCDF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显微根尖手术器械盒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B.</w:t>
      </w:r>
      <w:r>
        <w:rPr>
          <w:rFonts w:hint="eastAsia" w:ascii="仿宋_GB2312" w:hAnsi="仿宋_GB2312" w:eastAsia="仿宋_GB2312" w:cs="仿宋_GB2312"/>
          <w:sz w:val="32"/>
          <w:szCs w:val="32"/>
        </w:rPr>
        <w:t>超声柄和尖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142D0B2D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iroot BP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</w:t>
      </w:r>
      <w:r>
        <w:rPr>
          <w:rFonts w:hint="eastAsia" w:ascii="仿宋_GB2312" w:hAnsi="仿宋_GB2312" w:eastAsia="仿宋_GB2312" w:cs="仿宋_GB2312"/>
          <w:sz w:val="32"/>
          <w:szCs w:val="32"/>
        </w:rPr>
        <w:t>骨粉，骨杯</w:t>
      </w:r>
    </w:p>
    <w:p w14:paraId="20454E81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显微根尖手术之前患者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准备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以下不正确的是（   ）</w:t>
      </w:r>
    </w:p>
    <w:p w14:paraId="5D615591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了解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患者的既往史、过敏史等，是否患有糖尿病或是心脏病等系统性疾病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 w14:paraId="2F4F4CEA"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left="0" w:leftChars="0" w:right="0" w:righ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护理人员需要全方位了解患者当前的心理状态，做好术前心理护理。</w:t>
      </w:r>
    </w:p>
    <w:p w14:paraId="32AAF3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C.无需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签署治疗知情同意书。</w:t>
      </w:r>
    </w:p>
    <w:p w14:paraId="7482DE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D.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患牙区CBCT检查、血常规以及全面口腔检查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</w:p>
    <w:p w14:paraId="6CC2A984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嘱患者使用复方氯己定漱口液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3次,每次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含漱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时间：（   ）</w:t>
      </w:r>
    </w:p>
    <w:p w14:paraId="56C28DB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A.1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min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B.2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min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C.3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min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D.5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min</w:t>
      </w:r>
    </w:p>
    <w:p w14:paraId="3A799EF4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显微根尖手术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用裂钻将根尖切除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范围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（   ） </w:t>
      </w:r>
    </w:p>
    <w:p w14:paraId="7C470BB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A.1-2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B.2-3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C.3-4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mm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D.4-5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mm</w:t>
      </w:r>
    </w:p>
    <w:p w14:paraId="070F7173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手术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可以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的小手术间进行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</w:p>
    <w:p w14:paraId="5C42715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A.独立       B.非独立       C.普通诊室     D.特殊诊室</w:t>
      </w:r>
    </w:p>
    <w:p w14:paraId="268F6555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根尖倒充填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前用（   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小棉球放置于术区止血。</w:t>
      </w:r>
    </w:p>
    <w:p w14:paraId="2E0AF8A1"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生理盐水    B.利多卡因     C.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肾上腺素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D.阿替卡因</w:t>
      </w:r>
    </w:p>
    <w:p w14:paraId="492E28B2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根尖手术过程包括：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）</w:t>
      </w:r>
    </w:p>
    <w:p w14:paraId="46B94D0E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切开、翻瓣、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去骨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刮除根尖周病变组织</w:t>
      </w:r>
    </w:p>
    <w:p w14:paraId="00F540C9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left="0" w:leftChars="0" w:right="0" w:righ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根尖切除 </w:t>
      </w:r>
    </w:p>
    <w:p w14:paraId="4979212B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left="0" w:leftChars="0" w:right="0" w:righ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根尖倒预备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根尖倒充填</w:t>
      </w:r>
    </w:p>
    <w:p w14:paraId="3484A33B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left="0" w:leftChars="0" w:right="0" w:righ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瓣的复位与缝合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</w:p>
    <w:p w14:paraId="42B5A9E4"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left="0" w:leftChars="0" w:right="0" w:righ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以上都是</w:t>
      </w:r>
    </w:p>
    <w:p w14:paraId="112D3F2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患者术后禁食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,术后当天以温凉流食为主,忌食刺激性食物、禁烟酒。</w:t>
      </w:r>
    </w:p>
    <w:p w14:paraId="1E45EB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A.1小时      B.2小时       C.3小时     D.4小时</w:t>
      </w:r>
    </w:p>
    <w:p w14:paraId="02D0E0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9、术后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持续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用冰袋冷敷术区。24h 内勿刷牙、漱口、吸吮伤口及频繁吐唾液。</w:t>
      </w:r>
    </w:p>
    <w:p w14:paraId="01A1197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A.6小时      B.12小时      C.18小时    D.24小时</w:t>
      </w:r>
    </w:p>
    <w:p w14:paraId="178F0AF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leftChars="0" w:right="0" w:righ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10、 术后宣教不包括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  ）</w:t>
      </w:r>
    </w:p>
    <w:p w14:paraId="16B1C7D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A.术后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如有不适及时就诊。</w:t>
      </w:r>
    </w:p>
    <w:p w14:paraId="10A4F24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B.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术后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3-5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天拆线,如有不适及时就诊。</w:t>
      </w:r>
    </w:p>
    <w:p w14:paraId="7FA291C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C.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定期复查,复诊拍摄X线片,以便追踪观察根尖周组织的愈合情况。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 w14:paraId="6E3B602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240" w:after="240" w:line="590" w:lineRule="atLeas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D.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在手术完成后，视情况遵医嘱服用一些抗生素，并定期前往医院复查。</w:t>
      </w:r>
    </w:p>
    <w:p w14:paraId="6F815C0B">
      <w:pPr>
        <w:widowControl/>
        <w:numPr>
          <w:ilvl w:val="0"/>
          <w:numId w:val="0"/>
        </w:numPr>
        <w:spacing w:before="240" w:after="240" w:line="360" w:lineRule="auto"/>
        <w:ind w:right="0" w:righ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204A0EE">
      <w:pPr>
        <w:widowControl/>
        <w:spacing w:before="240" w:after="240" w:line="360" w:lineRule="auto"/>
        <w:ind w:right="0" w:firstLine="480" w:firstLineChars="200"/>
        <w:jc w:val="lef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51926042">
      <w:pPr>
        <w:widowControl/>
        <w:spacing w:before="240" w:after="240" w:line="360" w:lineRule="auto"/>
        <w:ind w:right="0" w:firstLine="480" w:firstLineChars="200"/>
        <w:jc w:val="lef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15666C5F">
      <w:pPr>
        <w:widowControl/>
        <w:spacing w:before="240" w:after="240" w:line="360" w:lineRule="auto"/>
        <w:ind w:right="0" w:firstLine="480" w:firstLineChars="200"/>
        <w:jc w:val="lef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</w:p>
    <w:sectPr>
      <w:pgSz w:w="11906" w:h="16838"/>
      <w:pgMar w:top="1814" w:right="1587" w:bottom="1701" w:left="1587" w:header="708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34A4B"/>
    <w:multiLevelType w:val="singleLevel"/>
    <w:tmpl w:val="BCC34A4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0393328D"/>
    <w:multiLevelType w:val="multilevel"/>
    <w:tmpl w:val="0393328D"/>
    <w:lvl w:ilvl="0" w:tentative="0">
      <w:start w:val="1"/>
      <w:numFmt w:val="decimal"/>
      <w:suff w:val="space"/>
      <w:lvlText w:val="%1"/>
      <w:lvlJc w:val="left"/>
      <w:pPr>
        <w:ind w:left="0" w:leftChars="0" w:firstLine="0" w:firstLineChars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2">
    <w:nsid w:val="28207D9B"/>
    <w:multiLevelType w:val="singleLevel"/>
    <w:tmpl w:val="28207D9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423636FD"/>
    <w:multiLevelType w:val="singleLevel"/>
    <w:tmpl w:val="423636F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43B3B0FD"/>
    <w:multiLevelType w:val="singleLevel"/>
    <w:tmpl w:val="43B3B0F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4B190A00"/>
    <w:multiLevelType w:val="singleLevel"/>
    <w:tmpl w:val="4B190A0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79FB7A60"/>
    <w:multiLevelType w:val="singleLevel"/>
    <w:tmpl w:val="79FB7A60"/>
    <w:lvl w:ilvl="0" w:tentative="0">
      <w:start w:val="10"/>
      <w:numFmt w:val="chineseCounting"/>
      <w:suff w:val="space"/>
      <w:lvlText w:val="第%1讲"/>
      <w:lvlJc w:val="left"/>
      <w:rPr>
        <w:rFonts w:hint="eastAsia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k2NzliZDg5ZjgyYWU4M2VhZTY5YzQyNWMxOGRjZWQifQ=="/>
  </w:docVars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  <w:rsid w:val="039447DF"/>
    <w:rsid w:val="0A7D7D7B"/>
    <w:rsid w:val="0B154457"/>
    <w:rsid w:val="0BD54271"/>
    <w:rsid w:val="0DC9777B"/>
    <w:rsid w:val="137A57A0"/>
    <w:rsid w:val="13CE5AEB"/>
    <w:rsid w:val="1749246A"/>
    <w:rsid w:val="17AF79E2"/>
    <w:rsid w:val="19447D61"/>
    <w:rsid w:val="1B9C6EF3"/>
    <w:rsid w:val="1D65301C"/>
    <w:rsid w:val="211A2370"/>
    <w:rsid w:val="26121868"/>
    <w:rsid w:val="31FB7654"/>
    <w:rsid w:val="33E12879"/>
    <w:rsid w:val="37F25D87"/>
    <w:rsid w:val="38683569"/>
    <w:rsid w:val="3885411B"/>
    <w:rsid w:val="494D2A33"/>
    <w:rsid w:val="4EBD5F65"/>
    <w:rsid w:val="57A557E8"/>
    <w:rsid w:val="5EE906B0"/>
    <w:rsid w:val="620B4DE2"/>
    <w:rsid w:val="629B7F14"/>
    <w:rsid w:val="63691DC0"/>
    <w:rsid w:val="63F30561"/>
    <w:rsid w:val="64790728"/>
    <w:rsid w:val="6C465394"/>
    <w:rsid w:val="70D9242F"/>
    <w:rsid w:val="753C5586"/>
    <w:rsid w:val="7556096D"/>
    <w:rsid w:val="7BF4317D"/>
    <w:rsid w:val="7D225646"/>
    <w:rsid w:val="7DDE615E"/>
    <w:rsid w:val="7F0D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Heading 1 PHPDOCX"/>
    <w:basedOn w:val="1"/>
    <w:next w:val="1"/>
    <w:link w:val="2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customStyle="1" w:styleId="6">
    <w:name w:val="Heading 2 PHPDOCX"/>
    <w:basedOn w:val="1"/>
    <w:next w:val="1"/>
    <w:link w:val="2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customStyle="1" w:styleId="7">
    <w:name w:val="Heading 3 PHPDOCX"/>
    <w:basedOn w:val="1"/>
    <w:next w:val="1"/>
    <w:link w:val="3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customStyle="1" w:styleId="8">
    <w:name w:val="Heading 4 PHPDOCX"/>
    <w:basedOn w:val="1"/>
    <w:next w:val="1"/>
    <w:link w:val="31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customStyle="1" w:styleId="9">
    <w:name w:val="Heading 5 PHPDOCX"/>
    <w:basedOn w:val="1"/>
    <w:next w:val="1"/>
    <w:link w:val="32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customStyle="1" w:styleId="10">
    <w:name w:val="Heading 6 PHPDOCX"/>
    <w:basedOn w:val="1"/>
    <w:next w:val="1"/>
    <w:link w:val="3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customStyle="1" w:styleId="11">
    <w:name w:val="Heading 7 PHPDOCX"/>
    <w:basedOn w:val="1"/>
    <w:next w:val="1"/>
    <w:link w:val="34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customStyle="1" w:styleId="12">
    <w:name w:val="Heading 8 PHPDOCX"/>
    <w:basedOn w:val="1"/>
    <w:next w:val="1"/>
    <w:link w:val="52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3F3F3F" w:themeColor="text1" w:themeTint="BF"/>
      <w:sz w:val="20"/>
      <w:szCs w:val="20"/>
    </w:rPr>
  </w:style>
  <w:style w:type="paragraph" w:customStyle="1" w:styleId="13">
    <w:name w:val="Heading 9 PHPDOCX"/>
    <w:basedOn w:val="1"/>
    <w:next w:val="1"/>
    <w:link w:val="53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customStyle="1" w:styleId="14">
    <w:name w:val="annotation reference PHPDOCX"/>
    <w:basedOn w:val="15"/>
    <w:semiHidden/>
    <w:unhideWhenUsed/>
    <w:qFormat/>
    <w:uiPriority w:val="99"/>
    <w:rPr>
      <w:sz w:val="16"/>
      <w:szCs w:val="16"/>
    </w:rPr>
  </w:style>
  <w:style w:type="character" w:customStyle="1" w:styleId="15">
    <w:name w:val="Default Paragraph Font PHPDOCX"/>
    <w:semiHidden/>
    <w:unhideWhenUsed/>
    <w:qFormat/>
    <w:uiPriority w:val="1"/>
  </w:style>
  <w:style w:type="paragraph" w:customStyle="1" w:styleId="16">
    <w:name w:val="annotation text PHPDOCX"/>
    <w:basedOn w:val="1"/>
    <w:link w:val="17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character" w:customStyle="1" w:styleId="17">
    <w:name w:val="Comment Text Char PHPDOCX"/>
    <w:basedOn w:val="15"/>
    <w:link w:val="16"/>
    <w:semiHidden/>
    <w:qFormat/>
    <w:uiPriority w:val="99"/>
    <w:rPr>
      <w:sz w:val="20"/>
      <w:szCs w:val="20"/>
    </w:rPr>
  </w:style>
  <w:style w:type="paragraph" w:customStyle="1" w:styleId="18">
    <w:name w:val="annotation subject PHPDOCX"/>
    <w:basedOn w:val="16"/>
    <w:next w:val="16"/>
    <w:link w:val="19"/>
    <w:semiHidden/>
    <w:unhideWhenUsed/>
    <w:qFormat/>
    <w:uiPriority w:val="99"/>
    <w:rPr>
      <w:b/>
      <w:bCs/>
    </w:rPr>
  </w:style>
  <w:style w:type="character" w:customStyle="1" w:styleId="19">
    <w:name w:val="Comment Subject Char PHPDOCX"/>
    <w:basedOn w:val="17"/>
    <w:link w:val="18"/>
    <w:semiHidden/>
    <w:qFormat/>
    <w:uiPriority w:val="99"/>
    <w:rPr>
      <w:b/>
      <w:bCs/>
      <w:sz w:val="20"/>
      <w:szCs w:val="20"/>
    </w:rPr>
  </w:style>
  <w:style w:type="paragraph" w:customStyle="1" w:styleId="20">
    <w:name w:val="Balloon Text PHPDOCX"/>
    <w:basedOn w:val="1"/>
    <w:link w:val="2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1">
    <w:name w:val="Balloon Text Char PHPDOCX"/>
    <w:basedOn w:val="15"/>
    <w:link w:val="20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2">
    <w:name w:val="footnote Text PHPDOCX"/>
    <w:basedOn w:val="1"/>
    <w:link w:val="23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character" w:customStyle="1" w:styleId="23">
    <w:name w:val="footnote text Car PHPDOCX"/>
    <w:basedOn w:val="15"/>
    <w:link w:val="22"/>
    <w:semiHidden/>
    <w:qFormat/>
    <w:uiPriority w:val="99"/>
    <w:rPr>
      <w:sz w:val="20"/>
      <w:szCs w:val="20"/>
    </w:rPr>
  </w:style>
  <w:style w:type="character" w:customStyle="1" w:styleId="24">
    <w:name w:val="footnote Reference PHPDOCX"/>
    <w:basedOn w:val="15"/>
    <w:semiHidden/>
    <w:unhideWhenUsed/>
    <w:qFormat/>
    <w:uiPriority w:val="99"/>
    <w:rPr>
      <w:vertAlign w:val="superscript"/>
    </w:rPr>
  </w:style>
  <w:style w:type="paragraph" w:customStyle="1" w:styleId="25">
    <w:name w:val="endnote Text PHPDOCX"/>
    <w:basedOn w:val="1"/>
    <w:link w:val="26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character" w:customStyle="1" w:styleId="26">
    <w:name w:val="endnote text Car PHPDOCX"/>
    <w:basedOn w:val="15"/>
    <w:link w:val="25"/>
    <w:semiHidden/>
    <w:qFormat/>
    <w:uiPriority w:val="99"/>
    <w:rPr>
      <w:sz w:val="20"/>
      <w:szCs w:val="20"/>
    </w:rPr>
  </w:style>
  <w:style w:type="character" w:customStyle="1" w:styleId="27">
    <w:name w:val="endnote Reference PHPDOCX"/>
    <w:basedOn w:val="15"/>
    <w:semiHidden/>
    <w:unhideWhenUsed/>
    <w:qFormat/>
    <w:uiPriority w:val="99"/>
    <w:rPr>
      <w:vertAlign w:val="superscript"/>
    </w:rPr>
  </w:style>
  <w:style w:type="character" w:customStyle="1" w:styleId="28">
    <w:name w:val="Heading 1 Car PHPDOCX"/>
    <w:basedOn w:val="15"/>
    <w:link w:val="5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9">
    <w:name w:val="Heading 2 Car PHPDOCX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30">
    <w:name w:val="Heading 3 Car PHPDOCX"/>
    <w:basedOn w:val="15"/>
    <w:link w:val="7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31">
    <w:name w:val="Heading 4 Car PHPDOCX"/>
    <w:basedOn w:val="15"/>
    <w:link w:val="8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32">
    <w:name w:val="Heading 5 Car PHPDOCX"/>
    <w:basedOn w:val="15"/>
    <w:link w:val="9"/>
    <w:qFormat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33">
    <w:name w:val="Heading 6 Car PHPDOCX"/>
    <w:basedOn w:val="15"/>
    <w:link w:val="10"/>
    <w:qFormat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34">
    <w:name w:val="Heading 7 Car PHPDOCX"/>
    <w:basedOn w:val="15"/>
    <w:link w:val="11"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customStyle="1" w:styleId="35">
    <w:name w:val="Title PHPDOCX"/>
    <w:basedOn w:val="1"/>
    <w:next w:val="1"/>
    <w:link w:val="3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6">
    <w:name w:val="Title Car PHPDOCX"/>
    <w:basedOn w:val="15"/>
    <w:link w:val="3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7">
    <w:name w:val="Subtitle PHPDOCX"/>
    <w:basedOn w:val="1"/>
    <w:next w:val="1"/>
    <w:link w:val="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38">
    <w:name w:val="Subtitle Car PHPDOCX"/>
    <w:basedOn w:val="15"/>
    <w:link w:val="3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39">
    <w:name w:val="Subtle Emphasis PHPDOCX"/>
    <w:basedOn w:val="15"/>
    <w:qFormat/>
    <w:uiPriority w:val="19"/>
    <w:rPr>
      <w:i/>
      <w:iCs/>
      <w:color w:val="7F7F7F" w:themeColor="text1" w:themeTint="7F"/>
    </w:rPr>
  </w:style>
  <w:style w:type="character" w:customStyle="1" w:styleId="40">
    <w:name w:val="Emphasis PHPDOCX"/>
    <w:basedOn w:val="15"/>
    <w:qFormat/>
    <w:uiPriority w:val="20"/>
    <w:rPr>
      <w:i/>
      <w:iCs/>
    </w:rPr>
  </w:style>
  <w:style w:type="character" w:customStyle="1" w:styleId="41">
    <w:name w:val="Intense Emphasis PHPDOCX"/>
    <w:basedOn w:val="15"/>
    <w:qFormat/>
    <w:uiPriority w:val="21"/>
    <w:rPr>
      <w:b/>
      <w:bCs/>
      <w:i/>
      <w:iCs/>
      <w:color w:val="4F81BD" w:themeColor="accent1"/>
    </w:rPr>
  </w:style>
  <w:style w:type="character" w:customStyle="1" w:styleId="42">
    <w:name w:val="Strong PHPDOCX"/>
    <w:basedOn w:val="15"/>
    <w:qFormat/>
    <w:uiPriority w:val="22"/>
    <w:rPr>
      <w:b/>
      <w:bCs/>
    </w:rPr>
  </w:style>
  <w:style w:type="paragraph" w:customStyle="1" w:styleId="43">
    <w:name w:val="Quote PHPDOCX"/>
    <w:basedOn w:val="1"/>
    <w:next w:val="1"/>
    <w:link w:val="44"/>
    <w:qFormat/>
    <w:uiPriority w:val="29"/>
    <w:rPr>
      <w:i/>
      <w:iCs/>
      <w:color w:val="000000" w:themeColor="text1"/>
    </w:rPr>
  </w:style>
  <w:style w:type="character" w:customStyle="1" w:styleId="44">
    <w:name w:val="Quote Car PHPDOCX"/>
    <w:basedOn w:val="15"/>
    <w:link w:val="43"/>
    <w:qFormat/>
    <w:uiPriority w:val="29"/>
    <w:rPr>
      <w:i/>
      <w:iCs/>
      <w:color w:val="000000" w:themeColor="text1"/>
    </w:rPr>
  </w:style>
  <w:style w:type="paragraph" w:customStyle="1" w:styleId="45">
    <w:name w:val="Intense Quote PHPDOCX"/>
    <w:basedOn w:val="1"/>
    <w:next w:val="1"/>
    <w:link w:val="46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46">
    <w:name w:val="Intense Quote Car PHPDOCX"/>
    <w:basedOn w:val="15"/>
    <w:link w:val="45"/>
    <w:qFormat/>
    <w:uiPriority w:val="30"/>
    <w:rPr>
      <w:b/>
      <w:bCs/>
      <w:i/>
      <w:iCs/>
      <w:color w:val="4F81BD" w:themeColor="accent1"/>
    </w:rPr>
  </w:style>
  <w:style w:type="character" w:customStyle="1" w:styleId="47">
    <w:name w:val="Subtle Reference PHPDOCX"/>
    <w:basedOn w:val="15"/>
    <w:qFormat/>
    <w:uiPriority w:val="31"/>
    <w:rPr>
      <w:smallCaps/>
      <w:color w:val="C0504D" w:themeColor="accent2"/>
      <w:u w:val="single"/>
    </w:rPr>
  </w:style>
  <w:style w:type="character" w:customStyle="1" w:styleId="48">
    <w:name w:val="Intense Reference PHPDOCX"/>
    <w:basedOn w:val="15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49">
    <w:name w:val="Book Title PHPDOCX"/>
    <w:basedOn w:val="15"/>
    <w:qFormat/>
    <w:uiPriority w:val="33"/>
    <w:rPr>
      <w:b/>
      <w:bCs/>
      <w:smallCaps/>
      <w:spacing w:val="5"/>
    </w:rPr>
  </w:style>
  <w:style w:type="paragraph" w:customStyle="1" w:styleId="50">
    <w:name w:val="List Paragraph PHPDOCX"/>
    <w:basedOn w:val="1"/>
    <w:qFormat/>
    <w:uiPriority w:val="34"/>
    <w:pPr>
      <w:ind w:left="720"/>
      <w:contextualSpacing/>
    </w:pPr>
  </w:style>
  <w:style w:type="paragraph" w:customStyle="1" w:styleId="51">
    <w:name w:val="No Spacing PHPDOCX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52">
    <w:name w:val="Heading 8 Car PHPDOCX"/>
    <w:basedOn w:val="15"/>
    <w:link w:val="12"/>
    <w:semiHidden/>
    <w:qFormat/>
    <w:uiPriority w:val="9"/>
    <w:rPr>
      <w:rFonts w:asciiTheme="majorHAnsi" w:hAnsiTheme="majorHAnsi" w:eastAsiaTheme="majorEastAsia" w:cstheme="majorBidi"/>
      <w:color w:val="3F3F3F" w:themeColor="text1" w:themeTint="BF"/>
      <w:sz w:val="20"/>
      <w:szCs w:val="20"/>
    </w:rPr>
  </w:style>
  <w:style w:type="character" w:customStyle="1" w:styleId="53">
    <w:name w:val="Heading 9 Car PHPDOCX"/>
    <w:basedOn w:val="15"/>
    <w:link w:val="13"/>
    <w:semiHidden/>
    <w:qFormat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table" w:customStyle="1" w:styleId="54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Plain Table PHPDOCX"/>
    <w:qFormat/>
    <w:uiPriority w:val="5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Light Shading PHPDOCX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customStyle="1" w:styleId="58">
    <w:name w:val="Light Shading Accent 1 PHPDOCX"/>
    <w:qFormat/>
    <w:uiPriority w:val="60"/>
    <w:pPr>
      <w:spacing w:after="0"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59">
    <w:name w:val="Light Shading Accent 2 PHPDOCX"/>
    <w:qFormat/>
    <w:uiPriority w:val="60"/>
    <w:pPr>
      <w:spacing w:after="0"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customStyle="1" w:styleId="60">
    <w:name w:val="Light Shading Accent 3 PHPDOCX"/>
    <w:qFormat/>
    <w:uiPriority w:val="60"/>
    <w:pPr>
      <w:spacing w:after="0"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61">
    <w:name w:val="Light Shading Accent 4 PHPDOCX"/>
    <w:qFormat/>
    <w:uiPriority w:val="60"/>
    <w:pPr>
      <w:spacing w:after="0"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62">
    <w:name w:val="Light Shading Accent 5 PHPDOCX"/>
    <w:qFormat/>
    <w:uiPriority w:val="60"/>
    <w:pPr>
      <w:spacing w:after="0"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customStyle="1" w:styleId="63">
    <w:name w:val="Light List PHPDOCX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customStyle="1" w:styleId="64">
    <w:name w:val="Light List Accent 1 PHPDOCX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customStyle="1" w:styleId="65">
    <w:name w:val="Light List Accent 2 PHPDOCX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customStyle="1" w:styleId="66">
    <w:name w:val="Light List Accent 3 PHPDOCX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customStyle="1" w:styleId="67">
    <w:name w:val="Light List Accent 4 PHPDOCX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customStyle="1" w:styleId="68">
    <w:name w:val="Light List Accent 5 PHPDOCX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customStyle="1" w:styleId="69">
    <w:name w:val="Light List Accent 6 PHPDOCX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customStyle="1" w:styleId="70">
    <w:name w:val="Light Grid PHPDOCX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customStyle="1" w:styleId="71">
    <w:name w:val="Light Grid 1 PHPDOCX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customStyle="1" w:styleId="72">
    <w:name w:val="Light Grid 2 PHPDOCX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customStyle="1" w:styleId="73">
    <w:name w:val="Light Grid 3 PHPDOCX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customStyle="1" w:styleId="74">
    <w:name w:val="Light Grid 4 PHPDOCX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customStyle="1" w:styleId="75">
    <w:name w:val="Light Grid 5 PHPDOCX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customStyle="1" w:styleId="76">
    <w:name w:val="Light Grid 6 PHPDOCX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customStyle="1" w:styleId="77">
    <w:name w:val="Medium Shading 1 PHPDOCX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78">
    <w:name w:val="Medium Shading 1 Accent 1 PHPDOCX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79">
    <w:name w:val="Medium Shading 1 Accent 2 PHPDOCX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80">
    <w:name w:val="Medium Shading 1 Accent 3 PHPDOCX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81">
    <w:name w:val="Medium Shading 1 Accent 4 PHPDOCX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82">
    <w:name w:val="Medium Shading 1 Accent 5 PHPDOCX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83">
    <w:name w:val="Medium Shading 1 Accent 6 PHPDOCX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84">
    <w:name w:val="Medium Shading 2 PHPDOCX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85">
    <w:name w:val="Medium Shading 2 Accent 1 PHPDOCX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86">
    <w:name w:val="Medium Shading 2 Accent 2 PHPDOCX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87">
    <w:name w:val="Medium Shading 2 Accent 3 PHPDOCX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88">
    <w:name w:val="Medium Shading 2 Accent 4 PHPDOCX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89">
    <w:name w:val="Medium Shading 2 Accent 5 PHPDOCX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90">
    <w:name w:val="Medium Shading 2 Accent 6 PHPDOCX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cPr>
        <w:shd w:val="clear" w:color="auto" w:fill="D7D7D7" w:themeFill="background1" w:themeFillShade="D8"/>
      </w:tcPr>
    </w:tblStylePr>
    <w:tblStylePr w:type="neCell"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customStyle="1" w:styleId="91">
    <w:name w:val="Medium List 1 PHPDOCX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cPr>
        <w:shd w:val="clear" w:color="auto" w:fill="BFBFBF" w:themeFill="text1" w:themeFillTint="3F"/>
      </w:tcPr>
    </w:tblStylePr>
    <w:tblStylePr w:type="band1Horz">
      <w:tcPr>
        <w:shd w:val="clear" w:color="auto" w:fill="BFBFBF" w:themeFill="text1" w:themeFillTint="3F"/>
      </w:tcPr>
    </w:tblStylePr>
  </w:style>
  <w:style w:type="table" w:customStyle="1" w:styleId="92">
    <w:name w:val="Medium List 1 Accent 1 PHPDOCX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</w:tcPr>
    </w:tblStylePr>
    <w:tblStylePr w:type="band1Horz">
      <w:tcPr>
        <w:shd w:val="clear" w:color="auto" w:fill="D3DFEE" w:themeFill="accent1" w:themeFillTint="3F"/>
      </w:tcPr>
    </w:tblStylePr>
  </w:style>
  <w:style w:type="table" w:customStyle="1" w:styleId="93">
    <w:name w:val="Medium List 1 Accent 2 PHPDOCX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cPr>
        <w:shd w:val="clear" w:color="auto" w:fill="EFD3D3" w:themeFill="accent2" w:themeFillTint="3F"/>
      </w:tcPr>
    </w:tblStylePr>
    <w:tblStylePr w:type="band1Horz">
      <w:tcPr>
        <w:shd w:val="clear" w:color="auto" w:fill="EFD3D3" w:themeFill="accent2" w:themeFillTint="3F"/>
      </w:tcPr>
    </w:tblStylePr>
  </w:style>
  <w:style w:type="table" w:customStyle="1" w:styleId="94">
    <w:name w:val="Medium List 1 Accent 3 PHPDOCX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</w:tcPr>
    </w:tblStylePr>
    <w:tblStylePr w:type="band1Horz">
      <w:tcPr>
        <w:shd w:val="clear" w:color="auto" w:fill="E6EED5" w:themeFill="accent3" w:themeFillTint="3F"/>
      </w:tcPr>
    </w:tblStylePr>
  </w:style>
  <w:style w:type="table" w:customStyle="1" w:styleId="95">
    <w:name w:val="Medium List 1 Accent 4 PHPDOCX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</w:tcPr>
    </w:tblStylePr>
    <w:tblStylePr w:type="band1Horz">
      <w:tcPr>
        <w:shd w:val="clear" w:color="auto" w:fill="DFD8E8" w:themeFill="accent4" w:themeFillTint="3F"/>
      </w:tcPr>
    </w:tblStylePr>
  </w:style>
  <w:style w:type="table" w:customStyle="1" w:styleId="96">
    <w:name w:val="Medium List 1 Accent 5 PHPDOCX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cPr>
        <w:shd w:val="clear" w:color="auto" w:fill="D2EAF0" w:themeFill="accent5" w:themeFillTint="3F"/>
      </w:tcPr>
    </w:tblStylePr>
    <w:tblStylePr w:type="band1Horz">
      <w:tcPr>
        <w:shd w:val="clear" w:color="auto" w:fill="D2EAF0" w:themeFill="accent5" w:themeFillTint="3F"/>
      </w:tcPr>
    </w:tblStylePr>
  </w:style>
  <w:style w:type="table" w:customStyle="1" w:styleId="97">
    <w:name w:val="Medium List 1 Accent 6 PHPDOCX"/>
    <w:qFormat/>
    <w:uiPriority w:val="65"/>
    <w:pPr>
      <w:spacing w:after="0"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cPr>
        <w:shd w:val="clear" w:color="auto" w:fill="FDE5D1" w:themeFill="accent6" w:themeFillTint="3F"/>
      </w:tcPr>
    </w:tblStylePr>
    <w:tblStylePr w:type="band1Horz">
      <w:tcPr>
        <w:shd w:val="clear" w:color="auto" w:fill="FDE5D1" w:themeFill="accent6" w:themeFillTint="3F"/>
      </w:tcPr>
    </w:tblStylePr>
  </w:style>
  <w:style w:type="table" w:customStyle="1" w:styleId="98">
    <w:name w:val="Medium List 2 PHPDOCX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customStyle="1" w:styleId="99">
    <w:name w:val="Medium List 2 Accent 1 PHPDOCX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customStyle="1" w:styleId="100">
    <w:name w:val="Medium List 2 Accent 2 PHPDOCX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customStyle="1" w:styleId="101">
    <w:name w:val="Medium List 2 Accent 3 PHPDOCX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customStyle="1" w:styleId="102">
    <w:name w:val="Medium List 2 Accent 4 PHPDOCX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customStyle="1" w:styleId="103">
    <w:name w:val="Medium List 2 Accent 5 PHPDOCX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customStyle="1" w:styleId="104">
    <w:name w:val="Medium List 2 Accent 6 PHPDOCX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il"/>
        </w:tcBorders>
      </w:tcPr>
    </w:tblStylePr>
  </w:style>
  <w:style w:type="table" w:customStyle="1" w:styleId="105">
    <w:name w:val="Medium Grid 1 PHPDOCX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customStyle="1" w:styleId="106">
    <w:name w:val="Medium Grid 1 Accent 1 PHPDOCX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customStyle="1" w:styleId="107">
    <w:name w:val="Medium Grid 1 Accent 2 PHPDOCX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customStyle="1" w:styleId="108">
    <w:name w:val="Medium Grid 1 Accent 3 PHPDOCX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customStyle="1" w:styleId="109">
    <w:name w:val="Medium Grid 1 Accent 4 PHPDOCX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customStyle="1" w:styleId="110">
    <w:name w:val="Medium Grid 1 Accent 5 PHPDOCX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customStyle="1" w:styleId="111">
    <w:name w:val="Medium Grid 1 Accent 6 PHPDOCX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  <w:style w:type="table" w:customStyle="1" w:styleId="112">
    <w:name w:val="Medium Grid 2 PHPDOCX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cPr>
        <w:shd w:val="clear" w:color="auto" w:fill="FFFFFF" w:themeFill="background1"/>
      </w:tcPr>
    </w:tblStylePr>
  </w:style>
  <w:style w:type="table" w:customStyle="1" w:styleId="113">
    <w:name w:val="Medium Grid 2 Accent 1 PHPDOCX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cPr>
        <w:shd w:val="clear" w:color="auto" w:fill="FFFFFF" w:themeFill="background1"/>
      </w:tcPr>
    </w:tblStylePr>
  </w:style>
  <w:style w:type="table" w:customStyle="1" w:styleId="114">
    <w:name w:val="Medium Grid 2 Accent 2 PHPDOCX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cPr>
        <w:shd w:val="clear" w:color="auto" w:fill="FFFFFF" w:themeFill="background1"/>
      </w:tcPr>
    </w:tblStylePr>
  </w:style>
  <w:style w:type="table" w:customStyle="1" w:styleId="115">
    <w:name w:val="Medium Grid 2 Accent 3 PHPDOCX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cPr>
        <w:shd w:val="clear" w:color="auto" w:fill="FFFFFF" w:themeFill="background1"/>
      </w:tcPr>
    </w:tblStylePr>
  </w:style>
  <w:style w:type="table" w:customStyle="1" w:styleId="116">
    <w:name w:val="Medium Grid 2 Accent 4 PHPDOCX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cPr>
        <w:shd w:val="clear" w:color="auto" w:fill="FFFFFF" w:themeFill="background1"/>
      </w:tcPr>
    </w:tblStylePr>
  </w:style>
  <w:style w:type="table" w:customStyle="1" w:styleId="117">
    <w:name w:val="Medium Grid 2 Accent 5 PHPDOCX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cPr>
        <w:shd w:val="clear" w:color="auto" w:fill="FFFFFF" w:themeFill="background1"/>
      </w:tcPr>
    </w:tblStylePr>
  </w:style>
  <w:style w:type="table" w:customStyle="1" w:styleId="118">
    <w:name w:val="Medium Grid 2 Accent 6 PHPDOCX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cPr>
        <w:shd w:val="clear" w:color="auto" w:fill="FFFFFF" w:themeFill="background1"/>
      </w:tcPr>
    </w:tblStylePr>
  </w:style>
  <w:style w:type="table" w:customStyle="1" w:styleId="119">
    <w:name w:val="Medium Grid 3 PHPDOCX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customStyle="1" w:styleId="120">
    <w:name w:val="Medium Grid 3 Accent 1 PHPDOCX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customStyle="1" w:styleId="121">
    <w:name w:val="Medium Grid 3 Accent 2 PHPDOCX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customStyle="1" w:styleId="122">
    <w:name w:val="Medium Grid 3 Accent 3 PHPDOCX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customStyle="1" w:styleId="123">
    <w:name w:val="Medium Grid 3 Accent 5 PHPDOCX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customStyle="1" w:styleId="124">
    <w:name w:val="Medium Grid 3 Accent 4 PHPDOCX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customStyle="1" w:styleId="125">
    <w:name w:val="Medium Grid 3 Accent 6 PHPDOCX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customStyle="1" w:styleId="126">
    <w:name w:val="Dark List PHPDOCX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127">
    <w:name w:val="Dark List Accent 1 PHPDOCX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customStyle="1" w:styleId="128">
    <w:name w:val="Dark List Accent 2 PHPDOCX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customStyle="1" w:styleId="129">
    <w:name w:val="Dark List Accent 3 PHPDOCX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130">
    <w:name w:val="Dark List Accent 4 PHPDOCX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131">
    <w:name w:val="Dark List Accent 5 PHPDOCX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132">
    <w:name w:val="Dark List Accent 6 PHPDOCX"/>
    <w:qFormat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customStyle="1" w:styleId="133">
    <w:name w:val="Colorful Shading PHPDOCX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4">
    <w:name w:val="Colorful Shading Accent 1 PHPDOCX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5">
    <w:name w:val="Colorful Shading Accent 2 PHPDOCX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cPr>
        <w:shd w:val="clear" w:color="auto" w:fill="E5B8B7" w:themeFill="accent2" w:themeFillTint="66"/>
      </w:tcPr>
    </w:tblStylePr>
    <w:tblStylePr w:type="band1Horz"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6">
    <w:name w:val="Colorful Shading Accent 3 PHPDOCX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cPr>
        <w:shd w:val="clear" w:color="auto" w:fill="D6E3BC" w:themeFill="accent3" w:themeFillTint="66"/>
      </w:tcPr>
    </w:tblStylePr>
    <w:tblStylePr w:type="band1Horz">
      <w:tcPr>
        <w:shd w:val="clear" w:color="auto" w:fill="CDDDAC" w:themeFill="accent3" w:themeFillTint="7F"/>
      </w:tcPr>
    </w:tblStylePr>
  </w:style>
  <w:style w:type="table" w:customStyle="1" w:styleId="137">
    <w:name w:val="Colorful Shading Accent 4 PHPDOCX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cPr>
        <w:shd w:val="clear" w:color="auto" w:fill="CCC0D9" w:themeFill="accent4" w:themeFillTint="66"/>
      </w:tcPr>
    </w:tblStylePr>
    <w:tblStylePr w:type="band1Horz"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8">
    <w:name w:val="Colorful Shading Accent 5 PHPDOCX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9">
    <w:name w:val="Colorful Shading Accent 6 PHPDOCX"/>
    <w:qFormat/>
    <w:uiPriority w:val="71"/>
    <w:pPr>
      <w:spacing w:after="0"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cPr>
        <w:shd w:val="clear" w:color="auto" w:fill="FBD4B4" w:themeFill="accent6" w:themeFillTint="66"/>
      </w:tcPr>
    </w:tblStylePr>
    <w:tblStylePr w:type="band1Horz"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Colorful List PHPDOCX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41">
    <w:name w:val="Colorful List Accent 1 PHPDOCX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142">
    <w:name w:val="Colorful List Accent 2 PHPDOCX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cPr>
        <w:shd w:val="clear" w:color="auto" w:fill="F2DBDB" w:themeFill="accent2" w:themeFillTint="33"/>
      </w:tcPr>
    </w:tblStylePr>
  </w:style>
  <w:style w:type="table" w:customStyle="1" w:styleId="143">
    <w:name w:val="Colorful List Accent 3 PHPDOCX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cPr>
        <w:shd w:val="clear" w:color="auto" w:fill="EAF1DD" w:themeFill="accent3" w:themeFillTint="33"/>
      </w:tcPr>
    </w:tblStylePr>
  </w:style>
  <w:style w:type="table" w:customStyle="1" w:styleId="144">
    <w:name w:val="Colorful List Accent 4 PHPDOCX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145">
    <w:name w:val="Colorful List Accent 5 PHPDOCX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cPr>
        <w:shd w:val="clear" w:color="auto" w:fill="DAEEF3" w:themeFill="accent5" w:themeFillTint="33"/>
      </w:tcPr>
    </w:tblStylePr>
  </w:style>
  <w:style w:type="table" w:customStyle="1" w:styleId="146">
    <w:name w:val="Colorful List Accent 6 PHPDOCX"/>
    <w:qFormat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147">
    <w:name w:val="Colorful Grid PHPDOCX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band1Vert">
      <w:tcPr>
        <w:shd w:val="clear" w:color="auto" w:fill="7F7F7F" w:themeFill="text1" w:themeFillTint="7F"/>
      </w:tcPr>
    </w:tblStylePr>
    <w:tblStylePr w:type="band1Horz">
      <w:tcPr>
        <w:shd w:val="clear" w:color="auto" w:fill="7F7F7F" w:themeFill="text1" w:themeFillTint="7F"/>
      </w:tcPr>
    </w:tblStylePr>
  </w:style>
  <w:style w:type="table" w:customStyle="1" w:styleId="148">
    <w:name w:val="Colorful Grid Accent 1 PHPDOCX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cPr>
        <w:shd w:val="clear" w:color="auto" w:fill="366091" w:themeFill="accent1" w:themeFillShade="BF"/>
      </w:tcPr>
    </w:tblStylePr>
    <w:tblStylePr w:type="band1Vert">
      <w:tcPr>
        <w:shd w:val="clear" w:color="auto" w:fill="A7C0DE" w:themeFill="accent1" w:themeFillTint="7F"/>
      </w:tcPr>
    </w:tblStylePr>
    <w:tblStylePr w:type="band1Horz">
      <w:tcPr>
        <w:shd w:val="clear" w:color="auto" w:fill="A7C0DE" w:themeFill="accent1" w:themeFillTint="7F"/>
      </w:tcPr>
    </w:tblStylePr>
  </w:style>
  <w:style w:type="table" w:customStyle="1" w:styleId="149">
    <w:name w:val="Colorful Grid Accent 2 PHPDOCX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cPr>
        <w:shd w:val="clear" w:color="auto" w:fill="943734" w:themeFill="accent2" w:themeFillShade="BF"/>
      </w:tcPr>
    </w:tblStylePr>
    <w:tblStylePr w:type="band1Vert">
      <w:tcPr>
        <w:shd w:val="clear" w:color="auto" w:fill="DFA7A6" w:themeFill="accent2" w:themeFillTint="7F"/>
      </w:tcPr>
    </w:tblStylePr>
    <w:tblStylePr w:type="band1Horz">
      <w:tcPr>
        <w:shd w:val="clear" w:color="auto" w:fill="DFA7A6" w:themeFill="accent2" w:themeFillTint="7F"/>
      </w:tcPr>
    </w:tblStylePr>
  </w:style>
  <w:style w:type="table" w:customStyle="1" w:styleId="150">
    <w:name w:val="Colorful Grid Accent 3 PHPDOCX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band1Vert">
      <w:tcPr>
        <w:shd w:val="clear" w:color="auto" w:fill="CDDDAC" w:themeFill="accent3" w:themeFillTint="7F"/>
      </w:tcPr>
    </w:tblStylePr>
    <w:tblStylePr w:type="band1Horz">
      <w:tcPr>
        <w:shd w:val="clear" w:color="auto" w:fill="CDDDAC" w:themeFill="accent3" w:themeFillTint="7F"/>
      </w:tcPr>
    </w:tblStylePr>
  </w:style>
  <w:style w:type="table" w:customStyle="1" w:styleId="151">
    <w:name w:val="Colorful Grid Accent 4 PHPDOCX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band1Vert">
      <w:tcPr>
        <w:shd w:val="clear" w:color="auto" w:fill="BFB1D0" w:themeFill="accent4" w:themeFillTint="7F"/>
      </w:tcPr>
    </w:tblStylePr>
    <w:tblStylePr w:type="band1Horz">
      <w:tcPr>
        <w:shd w:val="clear" w:color="auto" w:fill="BFB1D0" w:themeFill="accent4" w:themeFillTint="7F"/>
      </w:tcPr>
    </w:tblStylePr>
  </w:style>
  <w:style w:type="table" w:customStyle="1" w:styleId="152">
    <w:name w:val="Colorful Grid Accent 5 PHPDOCX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band1Vert">
      <w:tcPr>
        <w:shd w:val="clear" w:color="auto" w:fill="A5D5E2" w:themeFill="accent5" w:themeFillTint="7F"/>
      </w:tcPr>
    </w:tblStylePr>
    <w:tblStylePr w:type="band1Horz">
      <w:tcPr>
        <w:shd w:val="clear" w:color="auto" w:fill="A5D5E2" w:themeFill="accent5" w:themeFillTint="7F"/>
      </w:tcPr>
    </w:tblStylePr>
  </w:style>
  <w:style w:type="table" w:customStyle="1" w:styleId="153">
    <w:name w:val="Colorful Grid Accent 6 PHPDOCX"/>
    <w:qFormat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cPr>
        <w:shd w:val="clear" w:color="auto" w:fill="E36C09" w:themeFill="accent6" w:themeFillShade="BF"/>
      </w:tcPr>
    </w:tblStylePr>
    <w:tblStylePr w:type="band1Vert">
      <w:tcPr>
        <w:shd w:val="clear" w:color="auto" w:fill="FBCAA2" w:themeFill="accent6" w:themeFillTint="7F"/>
      </w:tcPr>
    </w:tblStylePr>
    <w:tblStylePr w:type="band1Horz">
      <w:tcPr>
        <w:shd w:val="clear" w:color="auto" w:fill="FBCAA2" w:themeFill="accent6" w:themeFillTint="7F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2797</Words>
  <Characters>2966</Characters>
  <Lines>14</Lines>
  <Paragraphs>3</Paragraphs>
  <TotalTime>6</TotalTime>
  <ScaleCrop>false</ScaleCrop>
  <LinksUpToDate>false</LinksUpToDate>
  <CharactersWithSpaces>3161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2012-01-10T09:29:00Z</dcterms:created>
  <dc:creator>PHPDocX</dc:creator>
  <cp:lastModifiedBy>lenovo</cp:lastModifiedBy>
  <dcterms:modified xsi:type="dcterms:W3CDTF">2025-07-31T08:13:02Z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275B02EE57C349FCA7161C18AE526442_13</vt:lpwstr>
  </property>
  <property fmtid="{D5CDD505-2E9C-101B-9397-08002B2CF9AE}" pid="4" name="KSOTemplateDocerSaveRecord">
    <vt:lpwstr>eyJoZGlkIjoiMDAxYmE2ZWJmM2RkM2I4YjQwM2FjMjkzN2EyMTE1MGUifQ==</vt:lpwstr>
  </property>
</Properties>
</file>